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12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№4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автономного округа-Югры </w:t>
      </w:r>
      <w:r>
        <w:rPr>
          <w:rStyle w:val="cat-FIOgrp-34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исполняющий обязанности мирового судьи </w:t>
      </w:r>
      <w:r>
        <w:rPr>
          <w:rFonts w:ascii="Times New Roman" w:eastAsia="Times New Roman" w:hAnsi="Times New Roman" w:cs="Times New Roman"/>
          <w:sz w:val="26"/>
          <w:szCs w:val="26"/>
        </w:rPr>
        <w:t>судебного участка №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судебного </w:t>
      </w:r>
      <w:r>
        <w:rPr>
          <w:rStyle w:val="cat-Addressgrp-1rplc-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автономного округа-Югры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представителя лица, в отношении которого ведется производство по делу об административном правонарушении – Департамента региональной безопасности </w:t>
      </w:r>
      <w:r>
        <w:rPr>
          <w:rStyle w:val="cat-Addressgrp-2rplc-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(далее – Департамент) </w:t>
      </w:r>
      <w:r>
        <w:rPr>
          <w:rStyle w:val="cat-FIOgrp-35rplc-6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действующего на основании доверенности от </w:t>
      </w:r>
      <w:r>
        <w:rPr>
          <w:rStyle w:val="cat-Dategrp-13rplc-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4,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№5-0612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-280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возбужденное по ч. 1 ст. 20.6 КоАП РФ в отношении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Департамента региональной безопасности </w:t>
      </w:r>
      <w:r>
        <w:rPr>
          <w:rStyle w:val="cat-Addressgrp-2rplc-8"/>
          <w:rFonts w:ascii="Times New Roman" w:eastAsia="Times New Roman" w:hAnsi="Times New Roman" w:cs="Times New Roman"/>
          <w:b/>
          <w:bCs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расположенного по адресу: </w:t>
      </w:r>
      <w:r>
        <w:rPr>
          <w:rStyle w:val="cat-Addressgrp-3rplc-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, ИНН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Style w:val="cat-PhoneNumbergrp-40rplc-10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ОГРН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1058600004132,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Мировому судье поступил протокол об административном правонарушении №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Style w:val="cat-PhoneNumbergrp-41rplc-11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-00022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Style w:val="cat-Dategrp-14rplc-1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составленный ведущим специалистом-экспертом отдела надзорных мероприятий в области гражданской обороны, защиты населения и территорий от чрезвычайных ситуаций управления надзорной деятельности и профилактической работы Главного управления МЧС России по </w:t>
      </w:r>
      <w:r>
        <w:rPr>
          <w:rStyle w:val="cat-Addressgrp-4rplc-1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36rplc-14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протоколу, событие административного правонаруш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ения изложено следующим образом: </w:t>
      </w:r>
      <w:r>
        <w:rPr>
          <w:rStyle w:val="cat-Dategrp-18rplc-1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38rplc-16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 адресу: </w:t>
      </w:r>
      <w:r>
        <w:rPr>
          <w:rStyle w:val="cat-Addressgrp-5rplc-1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указанное юридическое лицо совершило административное правонарушение, предусмотренное частью 1 статьи 20.6 Кодекса Российской Федерации об административных правонарушениях, а именно: в период с </w:t>
      </w:r>
      <w:r>
        <w:rPr>
          <w:rStyle w:val="cat-Dategrp-15rplc-1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Dategrp-16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 основании распоряжения (решения) заместителя начальника Главного управления – начальника управления надзорной деятельности и профилактической деятельности Главного управления МЧС России по </w:t>
      </w:r>
      <w:r>
        <w:rPr>
          <w:rStyle w:val="cat-Addressgrp-4rplc-2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Style w:val="cat-Dategrp-19rplc-2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2604/171-86/12-В/РВП управлением надзорной деятельности и профилактической работы Главного управления, во исполнение п. 1.3 протокола оперативного совещания Совета Безопасности Российской Федерации по вопросу «О дополнительных мерах по предотвращению и ликвидации паводков и природных пожаров в </w:t>
      </w:r>
      <w:r>
        <w:rPr>
          <w:rStyle w:val="cat-Dategrp-17rplc-2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от </w:t>
      </w:r>
      <w:r>
        <w:rPr>
          <w:rStyle w:val="cat-Dategrp-20rplc-23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утвержденного Президентом Российской Федерации от </w:t>
      </w:r>
      <w:r>
        <w:rPr>
          <w:rStyle w:val="cat-Dategrp-21rplc-2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Пр-272, проведена внеплановая выездная проверка реализации предоставленных Департаменту региональной безопасности Ханты-Мансийского автономного округа-Югры полномочий, предусмотренных Федеральным законом от </w:t>
      </w:r>
      <w:r>
        <w:rPr>
          <w:rStyle w:val="cat-Dategrp-22rplc-2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68-ФЗ «О защите населения и территорий от чрезвычайных </w:t>
      </w:r>
      <w:r>
        <w:rPr>
          <w:rFonts w:ascii="Times New Roman" w:eastAsia="Times New Roman" w:hAnsi="Times New Roman" w:cs="Times New Roman"/>
          <w:sz w:val="26"/>
          <w:szCs w:val="26"/>
        </w:rPr>
        <w:t>ситуаций природного и техногенного характера», другими федеральными законами, законами и иными нормативными правовыми актами субъекта Российской Федерации.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результатам проведения внеплановой выездной проверки </w:t>
      </w:r>
      <w:r>
        <w:rPr>
          <w:rStyle w:val="cat-Dategrp-18rplc-2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39rplc-27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составлен Акт внеплановой выездной проверки № 2604/171-86/12-В/АВП от </w:t>
      </w:r>
      <w:r>
        <w:rPr>
          <w:rStyle w:val="cat-Dategrp-18rplc-2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 </w:t>
      </w:r>
      <w:r>
        <w:rPr>
          <w:rStyle w:val="cat-Timegrp-39rplc-29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23rplc-3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юридическим лицом – Департаментом региональной безопасности </w:t>
      </w:r>
      <w:r>
        <w:rPr>
          <w:rStyle w:val="cat-Addressgrp-2rplc-31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Style w:val="cat-Addressgrp-6rplc-3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— </w:t>
      </w:r>
      <w:r>
        <w:rPr>
          <w:rStyle w:val="cat-Addressgrp-8rplc-3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(в соответствии с выпиской из ЕГРЮЛ), допущены следующие нарушения требований, установленных нормативными правовыми актами в области защиты населения и территорий от чрезвычайных ситуаций: не внесен Губернатору автономного округа и в </w:t>
      </w:r>
      <w:r>
        <w:rPr>
          <w:rStyle w:val="cat-Addressgrp-7rplc-3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проект законодательного акта, устанавливающего обязательные для исполнения гражданами и организациями правила поведения при введении режима повышенной готовности или чрезвычайной ситуации регионального и межмуниципального характера, соответствующий действующему законодательству Российской Федерации и Ханты-Мансийского автономного округа-Югры. Данное нарушение допущено в нарушение требований подпункта «у» части 1 статьи 11 Федерального закона от </w:t>
      </w:r>
      <w:r>
        <w:rPr>
          <w:rStyle w:val="cat-Dategrp-24rplc-3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68-ФЗ «О защите населения и территорий от чрезвычайных ситуаций природного и техногенного характера» и пункта 6.1 постановления Правительства ХМАО-Югры от </w:t>
      </w:r>
      <w:r>
        <w:rPr>
          <w:rStyle w:val="cat-Dategrp-25rplc-3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280-п «О Департаменте региональной безопасности </w:t>
      </w:r>
      <w:r>
        <w:rPr>
          <w:rStyle w:val="cat-Addressgrp-2rplc-3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».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Департаменту вменяется невыполнение требований норм и правил по предупреждению и ликвидации чрезвычайных ситуаций, ответственность за которое предусмотрена ч. 1 ст. 20.6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явился представитель Департамента </w:t>
      </w:r>
      <w:r>
        <w:rPr>
          <w:rStyle w:val="cat-FIOgrp-35rplc-3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который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поддержал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письменные возражения на протокол и просил производство по делу прекратить в связи с отсутствием состава административного правонарушения. В обоснование позиции указал, что Департамент дважды подготавливал проекты соответствующего постановления Губернатора, но оба раза получал отрицательные заключения Правового управления Аппарата Губернатора, </w:t>
      </w:r>
      <w:r>
        <w:rPr>
          <w:rStyle w:val="cat-Addressgrp-7rplc-3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федеральные Правила поведения уже утверждены Постановлением Правительства РФ № 417, что делает региональный акт избыточным; МЧС России в письме от </w:t>
      </w:r>
      <w:r>
        <w:rPr>
          <w:rStyle w:val="cat-Dategrp-26rplc-4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ИВ-11-467, представленном в материалах дела, подтвердило отсутствие необходимости установления «универсальных» правил.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материалы дела, заслушав представителя Департамента</w:t>
      </w:r>
      <w:r>
        <w:rPr>
          <w:rFonts w:ascii="Times New Roman" w:eastAsia="Times New Roman" w:hAnsi="Times New Roman" w:cs="Times New Roman"/>
          <w:sz w:val="26"/>
          <w:szCs w:val="26"/>
        </w:rPr>
        <w:t>, исследовав представленные доказательства и оценив их в совокупности, мировой судья приходит к следующим выводам.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подпунктом «у» пункта 1 статьи 11 Федерального закона № 68-ФЗ органы государственной власти субъектов Российской Федерации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подпунктом «м» данного пункта.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Вместе с тем, как следует из системного толкования указанной нормы во взаимосвязи с подпунктом «м» пункта 1 статьи 11 Федерального закона № 68-ФЗ, а также с пунктами 2.3 и 2.4 статьи 3 Закона </w:t>
      </w:r>
      <w:r>
        <w:rPr>
          <w:rStyle w:val="cat-Addressgrp-2rplc-41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Style w:val="cat-Dategrp-27rplc-4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135-оз «О защите населения и территорий </w:t>
      </w:r>
      <w:r>
        <w:rPr>
          <w:rStyle w:val="cat-Addressgrp-2rplc-4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чрезвычайных ситуаций межмуниципального и регионального характера», Губернатор автономного округа принимает решения о введении режима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и одновременно устанавливает обязательные для исполнения гражданами и организациями правила поведения при введении такого режима с учетом причин, послуживших основой для принятия соответствующего решения, а также особенностей складывающейся обстановки.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указанные нормы не предусматривают обязанности органов государственной власти субъектов Российской Федерации по разработке и внесению универсального нормативного правового акта, устанавливающего правила поведения на все случаи введения режима повышенной готовности или чрезвычайной ситуации. Правила поведения устанавливаются применительно к каждому конкретному случаю введения соответствующего режима, что подтверждается сложившейся практикой принятия Губернатором автономного округа правовых актов о мерах, направленных на предотвращение завоза и распространения новой </w:t>
      </w:r>
      <w:r>
        <w:rPr>
          <w:rFonts w:ascii="Times New Roman" w:eastAsia="Times New Roman" w:hAnsi="Times New Roman" w:cs="Times New Roman"/>
          <w:sz w:val="26"/>
          <w:szCs w:val="26"/>
        </w:rPr>
        <w:t>коронавирусной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инфекции, вызванной COVID-19 (в частности, постановление </w:t>
      </w:r>
      <w:r>
        <w:rPr>
          <w:rStyle w:val="cat-Addressgrp-10rplc-4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Style w:val="cat-Dategrp-28rplc-4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29 «О мерах по предотвращению завоза и распространения новой </w:t>
      </w:r>
      <w:r>
        <w:rPr>
          <w:rFonts w:ascii="Times New Roman" w:eastAsia="Times New Roman" w:hAnsi="Times New Roman" w:cs="Times New Roman"/>
          <w:sz w:val="26"/>
          <w:szCs w:val="26"/>
        </w:rPr>
        <w:t>коронавирусной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инфекции, вызванной COVID-19, в </w:t>
      </w:r>
      <w:r>
        <w:rPr>
          <w:rStyle w:val="cat-Addressgrp-9rplc-4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» и последующие акты).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Правительства Российской Федерации от </w:t>
      </w:r>
      <w:r>
        <w:rPr>
          <w:rStyle w:val="cat-Dategrp-29rplc-4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417 утверждены Правила поведения, обязательные для исполнения гражданами и организациями, при введении режима повышенной готовности или чрезвычайной ситуации. Указанные Правила являются обязательными к исполнению на территории, на которой введен режим повышенной готовности или чрезвычайной ситуации, вне зависимости от того, каким органом власти (должностным лицом) указанные режимы были введены.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на федеральном уровне уже установлены единые обязательные правила поведения, которые подлежат применению на всей </w:t>
      </w:r>
      <w:r>
        <w:rPr>
          <w:rStyle w:val="cat-Addressgrp-11rplc-4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введении любого режима повышенной готовности или чрезвычайной ситуации. Принятие субъектом Российской Федерации дублирующего нормативного правового акта, воспроизводящего положения федеральных Правил, не требуется и привело бы к избыточности правового регулирования.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частью 2 статьи 2.1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Как установлено в судебном заседании и подтверждается материалами дела, Департаментом дважды предпринимались попытки исполнить полномочие, предусмотренное подпунктом «у» пункта 1 статьи 11 Федерального закона № 68-ФЗ, путем подготовки и направления на согласование проектов постановлений </w:t>
      </w:r>
      <w:r>
        <w:rPr>
          <w:rStyle w:val="cat-Addressgrp-10rplc-4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ситуации, на территории </w:t>
      </w:r>
      <w:r>
        <w:rPr>
          <w:rStyle w:val="cat-Addressgrp-2rplc-5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».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Первый проект был подготовлен в </w:t>
      </w:r>
      <w:r>
        <w:rPr>
          <w:rStyle w:val="cat-Dategrp-30rplc-5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направлен для проведения правовой экспертизы в Правовое управление Аппарата Губернатора, </w:t>
      </w:r>
      <w:r>
        <w:rPr>
          <w:rStyle w:val="cat-Addressgrp-7rplc-5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По результатам проведенной правовой экспертизы Правовым управлением дано отрицательное заключение от </w:t>
      </w:r>
      <w:r>
        <w:rPr>
          <w:rStyle w:val="cat-Dategrp-31rplc-53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01.02-Исх-1608, в котором указано, что проект постановления не соответствует требованиям законодательства и возвращается без согласования.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Второй проект был подготовлен в </w:t>
      </w:r>
      <w:r>
        <w:rPr>
          <w:rStyle w:val="cat-Dategrp-32rplc-5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также направлен для проведения правовой экспертизы в Правовое управление. По результатам проведенной правовой экспертизы Правовым управлением дано отрицательное заключение от </w:t>
      </w:r>
      <w:r>
        <w:rPr>
          <w:rStyle w:val="cat-Dategrp-33rplc-5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01.02-Исх-1815, в котором проект признан не соответствующим требованиям законодательства, выявлены замечания правового, юридико-технического характера, включая наличие </w:t>
      </w:r>
      <w:r>
        <w:rPr>
          <w:rFonts w:ascii="Times New Roman" w:eastAsia="Times New Roman" w:hAnsi="Times New Roman" w:cs="Times New Roman"/>
          <w:sz w:val="26"/>
          <w:szCs w:val="26"/>
        </w:rPr>
        <w:t>коррупциогенных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факторов (установление неопределенных, трудновыполнимых и обременительных требований к гражданам и организациям), в связи с чем проект возвращен исполнителю для доработки.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Департаментом были предприняты все зависящие от него меры для исполнения полномочия по разработке и внесению проекта Правил поведения. Объективная невозможность реализации данного полномочия возникла по причине, не зависящей от воли Департамента, – ввиду отказа вышестоящего органа (Правового управления Аппарата Губернатора, </w:t>
      </w:r>
      <w:r>
        <w:rPr>
          <w:rStyle w:val="cat-Addressgrp-7rplc-5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) в согласовании проекта. При таких обстоятельствах вина Департамента в форме бездействия отсутствует.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Объективная сторона состава административного правонарушения, предусмотренного ч. 1 ст. 20.6 КоАП РФ, выражается в невыполнении предусмотренных законодательством обязанностей по защите населения и территорий от чрезвычайных ситуаций природного или техногенного характера, а равно в невыполнении требований норм и правил по предупреждению аварий и катастроф на объектах производственного или социального назначения.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привлечения к административной ответственности по данной статье необходимо установить, что у лица имелась обязанность совершить определенные действия (или воздержаться от их совершения), и эта обязанность не была выполнена при наличии реальной возможности для ее выполнения.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Как установлено выше, федеральным законодательством не предусмотрена безусловная обязанность органов государственной власти субъектов Российской Федерации по разработке и внесению универсального нормативного правового акта, устанавливающего правила поведения на все случаи введения режима повышенной готовности или чрезвычайной ситуации; правила поведения устанавливаются применительно к каждому конкретному случаю. Кроме того, на федеральном уровне уже действуют единые обязательные правила поведения, утвержденные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Правительства РФ от </w:t>
      </w:r>
      <w:r>
        <w:rPr>
          <w:rStyle w:val="cat-Dategrp-29rplc-5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417, что делает принятие регионального дублирующего акта избыточным. Департаментом предприняты все зависящие от него меры для исполнения полномочия (двукратная подготовка и направление проектов на согласование), однако объективная невозможность реализации данного полномочия возникла по причине, не зависящей от воли Департамента (отказ Правового управления в согласовании проектов).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таких обстоятельствах в действиях (бездействии) Департамента отсутствует состав административного правонарушения, предусмотренного ч. 1 ст. 20.6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пунктом 2 части 1 статьи 24.5 КоАП РФ производство по делу об административном правонарушении подлежит прекращению при отсутствии состава административного правонарушения.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24.5, 29.9, 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Производство по делу об административном правонарушении, предусмотренном ч. 1 ст. 20.6 КоАП РФ, в отношении Департамента региональной безопасности </w:t>
      </w:r>
      <w:r>
        <w:rPr>
          <w:rStyle w:val="cat-Addressgrp-2rplc-5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прекратить на основании п. 2 ч. 1 ст. 24.5 КоАП РФ в связи с отсутствием состава административного правонарушения.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10 дней со дня получения копии постановления.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Style w:val="cat-FIOgrp-37rplc-5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Style w:val="cat-FIOgrp-37rplc-60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А.В. </w:t>
      </w:r>
    </w:p>
    <w:p>
      <w:pPr>
        <w:spacing w:before="0" w:after="0"/>
        <w:rPr>
          <w:sz w:val="26"/>
          <w:szCs w:val="26"/>
        </w:rPr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906643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12rplc-1">
    <w:name w:val="cat-Date grp-12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34rplc-3">
    <w:name w:val="cat-FIO grp-34 rplc-3"/>
    <w:basedOn w:val="DefaultParagraphFont"/>
  </w:style>
  <w:style w:type="character" w:customStyle="1" w:styleId="cat-Addressgrp-1rplc-4">
    <w:name w:val="cat-Address grp-1 rplc-4"/>
    <w:basedOn w:val="DefaultParagraphFont"/>
  </w:style>
  <w:style w:type="character" w:customStyle="1" w:styleId="cat-Addressgrp-2rplc-5">
    <w:name w:val="cat-Address grp-2 rplc-5"/>
    <w:basedOn w:val="DefaultParagraphFont"/>
  </w:style>
  <w:style w:type="character" w:customStyle="1" w:styleId="cat-FIOgrp-35rplc-6">
    <w:name w:val="cat-FIO grp-35 rplc-6"/>
    <w:basedOn w:val="DefaultParagraphFont"/>
  </w:style>
  <w:style w:type="character" w:customStyle="1" w:styleId="cat-Dategrp-13rplc-7">
    <w:name w:val="cat-Date grp-13 rplc-7"/>
    <w:basedOn w:val="DefaultParagraphFont"/>
  </w:style>
  <w:style w:type="character" w:customStyle="1" w:styleId="cat-Addressgrp-2rplc-8">
    <w:name w:val="cat-Address grp-2 rplc-8"/>
    <w:basedOn w:val="DefaultParagraphFont"/>
  </w:style>
  <w:style w:type="character" w:customStyle="1" w:styleId="cat-Addressgrp-3rplc-9">
    <w:name w:val="cat-Address grp-3 rplc-9"/>
    <w:basedOn w:val="DefaultParagraphFont"/>
  </w:style>
  <w:style w:type="character" w:customStyle="1" w:styleId="cat-PhoneNumbergrp-40rplc-10">
    <w:name w:val="cat-PhoneNumber grp-40 rplc-10"/>
    <w:basedOn w:val="DefaultParagraphFont"/>
  </w:style>
  <w:style w:type="character" w:customStyle="1" w:styleId="cat-PhoneNumbergrp-41rplc-11">
    <w:name w:val="cat-PhoneNumber grp-41 rplc-11"/>
    <w:basedOn w:val="DefaultParagraphFont"/>
  </w:style>
  <w:style w:type="character" w:customStyle="1" w:styleId="cat-Dategrp-14rplc-12">
    <w:name w:val="cat-Date grp-14 rplc-12"/>
    <w:basedOn w:val="DefaultParagraphFont"/>
  </w:style>
  <w:style w:type="character" w:customStyle="1" w:styleId="cat-Addressgrp-4rplc-13">
    <w:name w:val="cat-Address grp-4 rplc-13"/>
    <w:basedOn w:val="DefaultParagraphFont"/>
  </w:style>
  <w:style w:type="character" w:customStyle="1" w:styleId="cat-FIOgrp-36rplc-14">
    <w:name w:val="cat-FIO grp-36 rplc-14"/>
    <w:basedOn w:val="DefaultParagraphFont"/>
  </w:style>
  <w:style w:type="character" w:customStyle="1" w:styleId="cat-Dategrp-18rplc-15">
    <w:name w:val="cat-Date grp-18 rplc-15"/>
    <w:basedOn w:val="DefaultParagraphFont"/>
  </w:style>
  <w:style w:type="character" w:customStyle="1" w:styleId="cat-Timegrp-38rplc-16">
    <w:name w:val="cat-Time grp-38 rplc-16"/>
    <w:basedOn w:val="DefaultParagraphFont"/>
  </w:style>
  <w:style w:type="character" w:customStyle="1" w:styleId="cat-Addressgrp-5rplc-17">
    <w:name w:val="cat-Address grp-5 rplc-17"/>
    <w:basedOn w:val="DefaultParagraphFont"/>
  </w:style>
  <w:style w:type="character" w:customStyle="1" w:styleId="cat-Dategrp-15rplc-18">
    <w:name w:val="cat-Date grp-15 rplc-18"/>
    <w:basedOn w:val="DefaultParagraphFont"/>
  </w:style>
  <w:style w:type="character" w:customStyle="1" w:styleId="cat-Dategrp-16rplc-19">
    <w:name w:val="cat-Date grp-16 rplc-19"/>
    <w:basedOn w:val="DefaultParagraphFont"/>
  </w:style>
  <w:style w:type="character" w:customStyle="1" w:styleId="cat-Addressgrp-4rplc-20">
    <w:name w:val="cat-Address grp-4 rplc-20"/>
    <w:basedOn w:val="DefaultParagraphFont"/>
  </w:style>
  <w:style w:type="character" w:customStyle="1" w:styleId="cat-Dategrp-19rplc-21">
    <w:name w:val="cat-Date grp-19 rplc-21"/>
    <w:basedOn w:val="DefaultParagraphFont"/>
  </w:style>
  <w:style w:type="character" w:customStyle="1" w:styleId="cat-Dategrp-17rplc-22">
    <w:name w:val="cat-Date grp-17 rplc-22"/>
    <w:basedOn w:val="DefaultParagraphFont"/>
  </w:style>
  <w:style w:type="character" w:customStyle="1" w:styleId="cat-Dategrp-20rplc-23">
    <w:name w:val="cat-Date grp-20 rplc-23"/>
    <w:basedOn w:val="DefaultParagraphFont"/>
  </w:style>
  <w:style w:type="character" w:customStyle="1" w:styleId="cat-Dategrp-21rplc-24">
    <w:name w:val="cat-Date grp-21 rplc-24"/>
    <w:basedOn w:val="DefaultParagraphFont"/>
  </w:style>
  <w:style w:type="character" w:customStyle="1" w:styleId="cat-Dategrp-22rplc-25">
    <w:name w:val="cat-Date grp-22 rplc-25"/>
    <w:basedOn w:val="DefaultParagraphFont"/>
  </w:style>
  <w:style w:type="character" w:customStyle="1" w:styleId="cat-Dategrp-18rplc-26">
    <w:name w:val="cat-Date grp-18 rplc-26"/>
    <w:basedOn w:val="DefaultParagraphFont"/>
  </w:style>
  <w:style w:type="character" w:customStyle="1" w:styleId="cat-Timegrp-39rplc-27">
    <w:name w:val="cat-Time grp-39 rplc-27"/>
    <w:basedOn w:val="DefaultParagraphFont"/>
  </w:style>
  <w:style w:type="character" w:customStyle="1" w:styleId="cat-Dategrp-18rplc-28">
    <w:name w:val="cat-Date grp-18 rplc-28"/>
    <w:basedOn w:val="DefaultParagraphFont"/>
  </w:style>
  <w:style w:type="character" w:customStyle="1" w:styleId="cat-Timegrp-39rplc-29">
    <w:name w:val="cat-Time grp-39 rplc-29"/>
    <w:basedOn w:val="DefaultParagraphFont"/>
  </w:style>
  <w:style w:type="character" w:customStyle="1" w:styleId="cat-Dategrp-23rplc-30">
    <w:name w:val="cat-Date grp-23 rplc-30"/>
    <w:basedOn w:val="DefaultParagraphFont"/>
  </w:style>
  <w:style w:type="character" w:customStyle="1" w:styleId="cat-Addressgrp-2rplc-31">
    <w:name w:val="cat-Address grp-2 rplc-31"/>
    <w:basedOn w:val="DefaultParagraphFont"/>
  </w:style>
  <w:style w:type="character" w:customStyle="1" w:styleId="cat-Addressgrp-6rplc-32">
    <w:name w:val="cat-Address grp-6 rplc-32"/>
    <w:basedOn w:val="DefaultParagraphFont"/>
  </w:style>
  <w:style w:type="character" w:customStyle="1" w:styleId="cat-Addressgrp-8rplc-33">
    <w:name w:val="cat-Address grp-8 rplc-33"/>
    <w:basedOn w:val="DefaultParagraphFont"/>
  </w:style>
  <w:style w:type="character" w:customStyle="1" w:styleId="cat-Addressgrp-7rplc-34">
    <w:name w:val="cat-Address grp-7 rplc-34"/>
    <w:basedOn w:val="DefaultParagraphFont"/>
  </w:style>
  <w:style w:type="character" w:customStyle="1" w:styleId="cat-Dategrp-24rplc-35">
    <w:name w:val="cat-Date grp-24 rplc-35"/>
    <w:basedOn w:val="DefaultParagraphFont"/>
  </w:style>
  <w:style w:type="character" w:customStyle="1" w:styleId="cat-Dategrp-25rplc-36">
    <w:name w:val="cat-Date grp-25 rplc-36"/>
    <w:basedOn w:val="DefaultParagraphFont"/>
  </w:style>
  <w:style w:type="character" w:customStyle="1" w:styleId="cat-Addressgrp-2rplc-37">
    <w:name w:val="cat-Address grp-2 rplc-37"/>
    <w:basedOn w:val="DefaultParagraphFont"/>
  </w:style>
  <w:style w:type="character" w:customStyle="1" w:styleId="cat-FIOgrp-35rplc-38">
    <w:name w:val="cat-FIO grp-35 rplc-38"/>
    <w:basedOn w:val="DefaultParagraphFont"/>
  </w:style>
  <w:style w:type="character" w:customStyle="1" w:styleId="cat-Addressgrp-7rplc-39">
    <w:name w:val="cat-Address grp-7 rplc-39"/>
    <w:basedOn w:val="DefaultParagraphFont"/>
  </w:style>
  <w:style w:type="character" w:customStyle="1" w:styleId="cat-Dategrp-26rplc-40">
    <w:name w:val="cat-Date grp-26 rplc-40"/>
    <w:basedOn w:val="DefaultParagraphFont"/>
  </w:style>
  <w:style w:type="character" w:customStyle="1" w:styleId="cat-Addressgrp-2rplc-41">
    <w:name w:val="cat-Address grp-2 rplc-41"/>
    <w:basedOn w:val="DefaultParagraphFont"/>
  </w:style>
  <w:style w:type="character" w:customStyle="1" w:styleId="cat-Dategrp-27rplc-42">
    <w:name w:val="cat-Date grp-27 rplc-42"/>
    <w:basedOn w:val="DefaultParagraphFont"/>
  </w:style>
  <w:style w:type="character" w:customStyle="1" w:styleId="cat-Addressgrp-2rplc-43">
    <w:name w:val="cat-Address grp-2 rplc-43"/>
    <w:basedOn w:val="DefaultParagraphFont"/>
  </w:style>
  <w:style w:type="character" w:customStyle="1" w:styleId="cat-Addressgrp-10rplc-44">
    <w:name w:val="cat-Address grp-10 rplc-44"/>
    <w:basedOn w:val="DefaultParagraphFont"/>
  </w:style>
  <w:style w:type="character" w:customStyle="1" w:styleId="cat-Dategrp-28rplc-45">
    <w:name w:val="cat-Date grp-28 rplc-45"/>
    <w:basedOn w:val="DefaultParagraphFont"/>
  </w:style>
  <w:style w:type="character" w:customStyle="1" w:styleId="cat-Addressgrp-9rplc-46">
    <w:name w:val="cat-Address grp-9 rplc-46"/>
    <w:basedOn w:val="DefaultParagraphFont"/>
  </w:style>
  <w:style w:type="character" w:customStyle="1" w:styleId="cat-Dategrp-29rplc-47">
    <w:name w:val="cat-Date grp-29 rplc-47"/>
    <w:basedOn w:val="DefaultParagraphFont"/>
  </w:style>
  <w:style w:type="character" w:customStyle="1" w:styleId="cat-Addressgrp-11rplc-48">
    <w:name w:val="cat-Address grp-11 rplc-48"/>
    <w:basedOn w:val="DefaultParagraphFont"/>
  </w:style>
  <w:style w:type="character" w:customStyle="1" w:styleId="cat-Addressgrp-10rplc-49">
    <w:name w:val="cat-Address grp-10 rplc-49"/>
    <w:basedOn w:val="DefaultParagraphFont"/>
  </w:style>
  <w:style w:type="character" w:customStyle="1" w:styleId="cat-Addressgrp-2rplc-50">
    <w:name w:val="cat-Address grp-2 rplc-50"/>
    <w:basedOn w:val="DefaultParagraphFont"/>
  </w:style>
  <w:style w:type="character" w:customStyle="1" w:styleId="cat-Dategrp-30rplc-51">
    <w:name w:val="cat-Date grp-30 rplc-51"/>
    <w:basedOn w:val="DefaultParagraphFont"/>
  </w:style>
  <w:style w:type="character" w:customStyle="1" w:styleId="cat-Addressgrp-7rplc-52">
    <w:name w:val="cat-Address grp-7 rplc-52"/>
    <w:basedOn w:val="DefaultParagraphFont"/>
  </w:style>
  <w:style w:type="character" w:customStyle="1" w:styleId="cat-Dategrp-31rplc-53">
    <w:name w:val="cat-Date grp-31 rplc-53"/>
    <w:basedOn w:val="DefaultParagraphFont"/>
  </w:style>
  <w:style w:type="character" w:customStyle="1" w:styleId="cat-Dategrp-32rplc-54">
    <w:name w:val="cat-Date grp-32 rplc-54"/>
    <w:basedOn w:val="DefaultParagraphFont"/>
  </w:style>
  <w:style w:type="character" w:customStyle="1" w:styleId="cat-Dategrp-33rplc-55">
    <w:name w:val="cat-Date grp-33 rplc-55"/>
    <w:basedOn w:val="DefaultParagraphFont"/>
  </w:style>
  <w:style w:type="character" w:customStyle="1" w:styleId="cat-Addressgrp-7rplc-56">
    <w:name w:val="cat-Address grp-7 rplc-56"/>
    <w:basedOn w:val="DefaultParagraphFont"/>
  </w:style>
  <w:style w:type="character" w:customStyle="1" w:styleId="cat-Dategrp-29rplc-57">
    <w:name w:val="cat-Date grp-29 rplc-57"/>
    <w:basedOn w:val="DefaultParagraphFont"/>
  </w:style>
  <w:style w:type="character" w:customStyle="1" w:styleId="cat-Addressgrp-2rplc-58">
    <w:name w:val="cat-Address grp-2 rplc-58"/>
    <w:basedOn w:val="DefaultParagraphFont"/>
  </w:style>
  <w:style w:type="character" w:customStyle="1" w:styleId="cat-FIOgrp-37rplc-59">
    <w:name w:val="cat-FIO grp-37 rplc-59"/>
    <w:basedOn w:val="DefaultParagraphFont"/>
  </w:style>
  <w:style w:type="character" w:customStyle="1" w:styleId="cat-FIOgrp-37rplc-60">
    <w:name w:val="cat-FIO grp-37 rplc-6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6F938-8648-4942-87E9-FD274D15A0B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